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A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B000000">
      <w:pPr>
        <w:ind/>
        <w:jc w:val="center"/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D000000">
      <w:pPr>
        <w:ind/>
        <w:jc w:val="center"/>
      </w:pPr>
    </w:p>
    <w:p w14:paraId="0E000000">
      <w:pPr>
        <w:ind/>
        <w:jc w:val="center"/>
      </w:pPr>
      <w:r>
        <w:t>с. Носово</w:t>
      </w:r>
    </w:p>
    <w:p w14:paraId="0F000000">
      <w:pPr>
        <w:ind/>
        <w:jc w:val="both"/>
      </w:pPr>
      <w:r>
        <w:t>_________20</w:t>
      </w:r>
      <w:r>
        <w:t>23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___</w:t>
      </w: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10385"/>
      </w:tblGrid>
      <w:tr>
        <w:trPr>
          <w:trHeight w:hRule="atLeast" w:val="969"/>
        </w:trPr>
        <w:tc>
          <w:tcPr>
            <w:tcW w:type="dxa" w:w="10385"/>
          </w:tcPr>
          <w:p w14:paraId="15000000">
            <w:pPr>
              <w:ind w:firstLine="0" w:left="7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Благоустройство территории Носовского сельского поселения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23</w:t>
            </w:r>
            <w:r>
              <w:rPr>
                <w:b w:val="1"/>
              </w:rPr>
              <w:t xml:space="preserve"> год</w:t>
            </w:r>
          </w:p>
        </w:tc>
      </w:tr>
    </w:tbl>
    <w:p w14:paraId="16000000">
      <w:pPr>
        <w:ind/>
        <w:jc w:val="both"/>
        <w:rPr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A000000">
      <w:pPr>
        <w:ind w:firstLine="708" w:left="0"/>
        <w:jc w:val="both"/>
        <w:rPr>
          <w:b w:val="1"/>
          <w:color w:val="000000"/>
        </w:rPr>
      </w:pPr>
    </w:p>
    <w:p w14:paraId="1B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</w:t>
      </w:r>
      <w:r>
        <w:t xml:space="preserve">«Благоустройство территории Носовского сельского поселения» </w:t>
      </w:r>
      <w:r>
        <w:rPr>
          <w:color w:val="000000"/>
        </w:rPr>
        <w:t>согласно приложению к настоящему постановлению.</w:t>
      </w:r>
    </w:p>
    <w:p w14:paraId="1C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D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ind w:firstLine="0" w:left="1134"/>
        <w:jc w:val="both"/>
      </w:pP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3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______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31000000">
      <w:pPr>
        <w:tabs>
          <w:tab w:leader="none" w:pos="1350" w:val="left"/>
        </w:tabs>
        <w:ind/>
        <w:jc w:val="center"/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 xml:space="preserve">году муниципальной программы </w:t>
      </w:r>
      <w:r>
        <w:t>«Благоустройство территории Носовского сельского поселения»</w:t>
      </w:r>
      <w:r>
        <w:t xml:space="preserve"> </w:t>
      </w:r>
    </w:p>
    <w:p w14:paraId="34000000">
      <w:pPr>
        <w:ind/>
        <w:jc w:val="center"/>
        <w:rPr>
          <w:sz w:val="26"/>
        </w:rPr>
      </w:pPr>
    </w:p>
    <w:p w14:paraId="35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6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7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</w:t>
      </w:r>
      <w:r>
        <w:t>решени</w:t>
      </w:r>
      <w:r>
        <w:t>я</w:t>
      </w:r>
      <w:r>
        <w:t xml:space="preserve"> вопросов, связанных с организацией благоустройства, обеспечением чистоты и порядка; повышение</w:t>
      </w:r>
      <w:r>
        <w:t>м</w:t>
      </w:r>
      <w:r>
        <w:t xml:space="preserve"> качества жизни населения на территории Носовского сельского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«Благоустройство территории Носовского сельского поселения»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12.11</w:t>
      </w:r>
      <w:r>
        <w:t xml:space="preserve">.2018 № </w:t>
      </w:r>
      <w:r>
        <w:t>60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8000000"/>
    <w:p w14:paraId="39000000">
      <w:r>
        <w:t>В результате которых:</w:t>
      </w:r>
    </w:p>
    <w:p w14:paraId="3A000000">
      <w:pPr>
        <w:ind w:firstLine="709" w:left="0"/>
        <w:jc w:val="both"/>
      </w:pPr>
      <w:r>
        <w:t>обеспечено повышение протяженности освещенных улиц на территории Носовского сельского поселения</w:t>
      </w:r>
      <w:r>
        <w:t>;</w:t>
      </w:r>
    </w:p>
    <w:p w14:paraId="3B000000">
      <w:pPr>
        <w:ind w:firstLine="708" w:left="0"/>
        <w:jc w:val="both"/>
      </w:pPr>
      <w:r>
        <w:t xml:space="preserve">обеспечено поддержание санитарных норм и эстетичного вида  территории поселения: обеспечен </w:t>
      </w:r>
      <w:r>
        <w:t>вывоз ТКО с гражданских кладбищ</w:t>
      </w:r>
      <w:r>
        <w:t>;</w:t>
      </w:r>
      <w:r>
        <w:t xml:space="preserve"> проведена</w:t>
      </w:r>
      <w:r>
        <w:t xml:space="preserve"> противоклещевая обработка территории</w:t>
      </w:r>
      <w:r>
        <w:t xml:space="preserve">;  </w:t>
      </w:r>
      <w:r>
        <w:t xml:space="preserve">проведен </w:t>
      </w:r>
      <w:r>
        <w:t xml:space="preserve">монтаж надписи на </w:t>
      </w:r>
      <w:r>
        <w:t>памятнике участникам ВОВ по адресу: Ростовская область, Неклиновский район, с.Носово, ул.Заречная, 9а</w:t>
      </w:r>
      <w:r>
        <w:t xml:space="preserve">; проведен </w:t>
      </w:r>
      <w:r>
        <w:t xml:space="preserve">покос травы  на территории памятников; изготовлены и установлены </w:t>
      </w:r>
      <w:r>
        <w:t xml:space="preserve">декоративная стела– фотозона «Я люблю Носово» и </w:t>
      </w:r>
      <w:r>
        <w:t>скамья парковая с 2 урнами;</w:t>
      </w:r>
      <w:r>
        <w:t xml:space="preserve"> установлена система видеонаблюдения; </w:t>
      </w:r>
      <w:r>
        <w:t xml:space="preserve"> проведен</w:t>
      </w:r>
      <w:r>
        <w:t>ы</w:t>
      </w:r>
      <w:r>
        <w:t xml:space="preserve"> </w:t>
      </w:r>
      <w:r>
        <w:t>спил, уборка, обрезка аварийных деревьев</w:t>
      </w:r>
      <w:r>
        <w:t xml:space="preserve">, приобретены </w:t>
      </w:r>
      <w:r>
        <w:t>информационные стенды и таблички.</w:t>
      </w: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 xml:space="preserve">1 </w:t>
      </w:r>
      <w:r>
        <w:t xml:space="preserve">«Благоустройство территории» </w:t>
      </w:r>
      <w:r>
        <w:t>предусмотрена</w:t>
      </w:r>
      <w:r>
        <w:t xml:space="preserve">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2000000"/>
    <w:p w14:paraId="43000000">
      <w:pPr>
        <w:pStyle w:val="Style_3"/>
        <w:spacing w:after="0" w:line="240" w:lineRule="auto"/>
        <w:ind/>
        <w:jc w:val="both"/>
      </w:pPr>
      <w:r>
        <w:t xml:space="preserve">           Основное мероприятие 1.1. «</w:t>
      </w:r>
      <w:r>
        <w:t>Содержание электрических сетей наружного (уличного) освещения</w:t>
      </w:r>
      <w:r>
        <w:t>» выполнено</w:t>
      </w:r>
      <w:r>
        <w:t>.</w:t>
      </w:r>
      <w:r>
        <w:t xml:space="preserve"> </w:t>
      </w:r>
      <w:r>
        <w:t xml:space="preserve">Обеспечено повышение </w:t>
      </w:r>
      <w:r>
        <w:t>протяженност</w:t>
      </w:r>
      <w:r>
        <w:t>и</w:t>
      </w:r>
      <w:r>
        <w:t xml:space="preserve"> освещенных улиц на территории Носовского сельского поселения</w:t>
      </w:r>
      <w:r>
        <w:t>. 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4000000">
      <w:pPr>
        <w:ind w:firstLine="708" w:left="0"/>
        <w:jc w:val="both"/>
      </w:pPr>
      <w:r>
        <w:t xml:space="preserve">оплата электрической энергии- </w:t>
      </w:r>
      <w:r>
        <w:t>186,8</w:t>
      </w:r>
      <w:r>
        <w:t xml:space="preserve"> тыс.руб;</w:t>
      </w:r>
    </w:p>
    <w:p w14:paraId="45000000">
      <w:pPr>
        <w:ind/>
        <w:jc w:val="both"/>
      </w:pPr>
      <w:r>
        <w:tab/>
      </w:r>
      <w:r>
        <w:t>содержание и тех.обслуживание сетей уличного освещения- 7</w:t>
      </w:r>
      <w:r>
        <w:t>50,</w:t>
      </w:r>
      <w:r>
        <w:t>0</w:t>
      </w:r>
      <w:r>
        <w:t xml:space="preserve"> тыс.руб.</w:t>
      </w:r>
      <w:r>
        <w:t>.</w:t>
      </w:r>
    </w:p>
    <w:p w14:paraId="46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 xml:space="preserve">1.2. </w:t>
      </w:r>
      <w:r>
        <w:t>«</w:t>
      </w:r>
      <w:r>
        <w:t>Организация благоустройства территории поселения</w:t>
      </w:r>
      <w:r>
        <w:t>»</w:t>
      </w:r>
      <w:r>
        <w:t xml:space="preserve">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Обеспечено поддержание санитарных норм и эстетичного вида  территории поселения</w:t>
      </w:r>
      <w:r>
        <w:t xml:space="preserve">. </w:t>
      </w:r>
      <w:r>
        <w:t>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7000000">
      <w:pPr>
        <w:ind/>
        <w:jc w:val="both"/>
      </w:pPr>
      <w:r>
        <w:tab/>
      </w:r>
      <w:r>
        <w:t xml:space="preserve">противоклещевая обработка территории </w:t>
      </w:r>
      <w:r>
        <w:t>–</w:t>
      </w:r>
      <w:r>
        <w:t xml:space="preserve"> </w:t>
      </w:r>
      <w:r>
        <w:t>16,5</w:t>
      </w:r>
      <w:r>
        <w:t xml:space="preserve"> тыс.руб.;</w:t>
      </w:r>
    </w:p>
    <w:p w14:paraId="48000000">
      <w:pPr>
        <w:ind/>
        <w:jc w:val="both"/>
      </w:pPr>
      <w:r>
        <w:tab/>
      </w:r>
      <w:r>
        <w:t xml:space="preserve">вывоз ТКО с гражданских кладбищ </w:t>
      </w:r>
      <w:r>
        <w:t>–</w:t>
      </w:r>
      <w:r>
        <w:t xml:space="preserve"> </w:t>
      </w:r>
      <w:r>
        <w:t>71,7</w:t>
      </w:r>
      <w:r>
        <w:t xml:space="preserve"> тыс.руб.;</w:t>
      </w:r>
    </w:p>
    <w:p w14:paraId="49000000">
      <w:pPr>
        <w:ind/>
        <w:jc w:val="both"/>
      </w:pPr>
      <w:r>
        <w:tab/>
      </w:r>
      <w:r>
        <w:t>изготовление и монтаж надписи</w:t>
      </w:r>
      <w:r>
        <w:t xml:space="preserve"> (памятник участникам ВОВ по адресу: Ростовская область, Неклиновский район, с.Носово, ул.Заречная, 9а)</w:t>
      </w:r>
      <w:r>
        <w:t xml:space="preserve"> – </w:t>
      </w:r>
      <w:r>
        <w:t>36,0</w:t>
      </w:r>
      <w:r>
        <w:t xml:space="preserve"> тыс.руб.;</w:t>
      </w:r>
    </w:p>
    <w:p w14:paraId="4A000000">
      <w:pPr>
        <w:ind w:firstLine="0" w:left="708"/>
        <w:jc w:val="both"/>
      </w:pPr>
      <w:r>
        <w:t>покос травы на территории Носовского сельского поселения (земельные участки у памятников)</w:t>
      </w:r>
      <w:r>
        <w:t xml:space="preserve"> – 86,6 тыс.руб.;</w:t>
      </w:r>
    </w:p>
    <w:p w14:paraId="4B000000">
      <w:pPr>
        <w:ind w:firstLine="0" w:left="708"/>
        <w:jc w:val="both"/>
      </w:pPr>
      <w:r>
        <w:t>изготовление и монтаж декоративной стелы– фотозоны «Я люблю Носово» –</w:t>
      </w:r>
      <w:r>
        <w:t xml:space="preserve"> </w:t>
      </w:r>
      <w:r>
        <w:t>310,0</w:t>
      </w:r>
      <w:r>
        <w:t xml:space="preserve"> тыс.руб.;</w:t>
      </w:r>
    </w:p>
    <w:p w14:paraId="4C000000">
      <w:pPr>
        <w:ind w:firstLine="0" w:left="708"/>
        <w:jc w:val="both"/>
      </w:pPr>
      <w:r>
        <w:t>изготовление и установка скамьи парковой с 2 урнами – 32,0 тыс.руб.;</w:t>
      </w:r>
    </w:p>
    <w:p w14:paraId="4D000000">
      <w:pPr>
        <w:ind w:firstLine="0" w:left="709"/>
        <w:jc w:val="both"/>
      </w:pPr>
      <w:r>
        <w:t>приобретение информационных стендов и табличек - 22,2 тыс.руб.;</w:t>
      </w:r>
    </w:p>
    <w:p w14:paraId="4E000000">
      <w:pPr>
        <w:ind/>
        <w:jc w:val="both"/>
      </w:pPr>
      <w:r>
        <w:tab/>
      </w:r>
      <w:r>
        <w:t>монтаж системы видеонаблюдения – 55,3 тыс.руб.;</w:t>
      </w:r>
    </w:p>
    <w:p w14:paraId="4F000000">
      <w:pPr>
        <w:ind/>
        <w:jc w:val="both"/>
      </w:pPr>
      <w:r>
        <w:tab/>
      </w:r>
      <w:r>
        <w:t>спил, уборка, обрезка аварийных деревьев – 66,0 тыс.руб.</w:t>
      </w:r>
    </w:p>
    <w:p w14:paraId="50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2 «</w:t>
      </w:r>
      <w:r>
        <w:t>Нормативно-методическое, информационное обеспечение и организация благоустройства территории</w:t>
      </w:r>
      <w:r>
        <w:t>» предусмотрена</w:t>
      </w:r>
      <w:r>
        <w:t xml:space="preserve"> реализация </w:t>
      </w:r>
      <w:r>
        <w:t>одного основного</w:t>
      </w:r>
      <w:r>
        <w:t xml:space="preserve"> мероприяти</w:t>
      </w:r>
      <w:r>
        <w:t>я</w:t>
      </w:r>
      <w:r>
        <w:t>.</w:t>
      </w:r>
    </w:p>
    <w:p w14:paraId="51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Разработка и совершенствование нормативного правового регулирования по организации благоустройства территории</w:t>
      </w:r>
      <w:r>
        <w:t>» выполнено</w:t>
      </w:r>
      <w:r>
        <w:t xml:space="preserve">. </w:t>
      </w:r>
    </w:p>
    <w:p w14:paraId="52000000">
      <w:pPr>
        <w:ind w:right="-1"/>
        <w:jc w:val="both"/>
      </w:pPr>
    </w:p>
    <w:p w14:paraId="53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4000000">
      <w:pPr>
        <w:ind/>
        <w:jc w:val="both"/>
        <w:rPr>
          <w:sz w:val="26"/>
        </w:rPr>
      </w:pPr>
    </w:p>
    <w:p w14:paraId="55000000">
      <w:pPr>
        <w:ind/>
        <w:jc w:val="both"/>
      </w:pPr>
    </w:p>
    <w:p w14:paraId="56000000">
      <w:pPr>
        <w:ind/>
        <w:jc w:val="both"/>
      </w:pPr>
    </w:p>
    <w:p w14:paraId="57000000">
      <w:pPr>
        <w:ind/>
        <w:jc w:val="center"/>
      </w:pPr>
      <w:r>
        <w:t>Раздел 3. Анализ факторов, повлиявших</w:t>
      </w:r>
    </w:p>
    <w:p w14:paraId="58000000">
      <w:pPr>
        <w:ind/>
        <w:jc w:val="center"/>
      </w:pPr>
      <w:r>
        <w:t>на ход реализации муниципальной программы</w:t>
      </w:r>
    </w:p>
    <w:p w14:paraId="59000000">
      <w:pPr>
        <w:ind/>
        <w:jc w:val="center"/>
      </w:pPr>
    </w:p>
    <w:p w14:paraId="5A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B000000">
      <w:pPr>
        <w:widowControl w:val="0"/>
        <w:ind w:firstLine="851" w:left="0"/>
        <w:jc w:val="both"/>
      </w:pPr>
      <w:r>
        <w:t>Раздел 4. Сведения об использовании бюджетных ассигнований</w:t>
      </w:r>
    </w:p>
    <w:p w14:paraId="5C000000">
      <w:pPr>
        <w:ind/>
        <w:jc w:val="center"/>
      </w:pPr>
      <w:r>
        <w:t>и внебюджетных средств на реализацию муниципальной программы</w:t>
      </w:r>
    </w:p>
    <w:p w14:paraId="5D000000"/>
    <w:p w14:paraId="5E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23</w:t>
      </w:r>
      <w:r>
        <w:t xml:space="preserve"> год составил </w:t>
      </w:r>
      <w:r>
        <w:t>2110,0</w:t>
      </w:r>
      <w:r>
        <w:t xml:space="preserve"> тыс. рублей, </w:t>
      </w:r>
    </w:p>
    <w:p w14:paraId="5F000000">
      <w:r>
        <w:t>в том числе по источникам финансирования:</w:t>
      </w:r>
    </w:p>
    <w:p w14:paraId="60000000">
      <w:r>
        <w:t xml:space="preserve">             местный бюджет </w:t>
      </w:r>
      <w:r>
        <w:t>–</w:t>
      </w:r>
      <w:r>
        <w:t xml:space="preserve"> </w:t>
      </w:r>
      <w:r>
        <w:t>2110,0</w:t>
      </w:r>
      <w:r>
        <w:t xml:space="preserve"> тыс. рублей</w:t>
      </w:r>
      <w:r>
        <w:t>.</w:t>
      </w:r>
    </w:p>
    <w:p w14:paraId="61000000">
      <w:r>
        <w:t xml:space="preserve">           </w:t>
      </w:r>
    </w:p>
    <w:p w14:paraId="62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2110,0</w:t>
      </w:r>
      <w:r>
        <w:t xml:space="preserve"> </w:t>
      </w:r>
      <w:r>
        <w:t>тыс. рублей.</w:t>
      </w:r>
    </w:p>
    <w:p w14:paraId="63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2</w:t>
      </w:r>
      <w:r>
        <w:t>110,0</w:t>
      </w:r>
      <w:r>
        <w:t xml:space="preserve"> тыс. рублей, в том числе по источникам финансирования:</w:t>
      </w:r>
    </w:p>
    <w:p w14:paraId="64000000">
      <w:r>
        <w:t xml:space="preserve">            </w:t>
      </w:r>
      <w:r>
        <w:t xml:space="preserve"> </w:t>
      </w:r>
      <w:r>
        <w:t xml:space="preserve">местный бюджет </w:t>
      </w:r>
      <w:r>
        <w:t>–</w:t>
      </w:r>
      <w:r>
        <w:t xml:space="preserve"> </w:t>
      </w:r>
      <w:r>
        <w:t>2110,0</w:t>
      </w:r>
      <w:r>
        <w:t xml:space="preserve"> тыс. рублей;</w:t>
      </w:r>
    </w:p>
    <w:p w14:paraId="65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1633,1</w:t>
      </w:r>
      <w:r>
        <w:t xml:space="preserve"> </w:t>
      </w:r>
      <w:r>
        <w:t>тыс. рублей, в том числе по источникам финансирования:</w:t>
      </w:r>
    </w:p>
    <w:p w14:paraId="66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1633,1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7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476,9</w:t>
      </w:r>
      <w:r>
        <w:t xml:space="preserve"> </w:t>
      </w:r>
      <w:r>
        <w:t>тыс. рублей, из них</w:t>
      </w:r>
      <w:r>
        <w:t xml:space="preserve"> 476,9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при осуществлени</w:t>
      </w:r>
      <w:r>
        <w:t>и закупок работ, услуг, товаров и невыполнение отдельных мероприятий программы.</w:t>
      </w:r>
    </w:p>
    <w:p w14:paraId="68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9000000"/>
    <w:p w14:paraId="6A000000">
      <w:pPr>
        <w:ind/>
        <w:jc w:val="center"/>
      </w:pPr>
      <w:r>
        <w:t>Раздел 5. Сведения о достижении</w:t>
      </w:r>
    </w:p>
    <w:p w14:paraId="6B000000">
      <w:pPr>
        <w:ind/>
        <w:jc w:val="center"/>
      </w:pPr>
      <w:r>
        <w:t>з</w:t>
      </w:r>
      <w:r>
        <w:t>начений показателей муниципальной</w:t>
      </w:r>
    </w:p>
    <w:p w14:paraId="6C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D000000"/>
    <w:p w14:paraId="6E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</w:t>
      </w:r>
      <w:r>
        <w:t>ей</w:t>
      </w:r>
      <w:r>
        <w:t xml:space="preserve">, по </w:t>
      </w:r>
      <w:r>
        <w:t>6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6F000000"/>
    <w:p w14:paraId="70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.</w:t>
      </w:r>
    </w:p>
    <w:p w14:paraId="71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2,25 га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2,25га.</w:t>
      </w:r>
    </w:p>
    <w:p w14:paraId="72000000">
      <w:pPr>
        <w:ind/>
        <w:jc w:val="both"/>
        <w:rPr>
          <w:i w:val="1"/>
        </w:rPr>
      </w:pPr>
      <w:r>
        <w:t xml:space="preserve">        Показатель </w:t>
      </w:r>
      <w:r>
        <w:t>3</w:t>
      </w:r>
      <w:r>
        <w:t>. «</w:t>
      </w:r>
      <w:r>
        <w:t>Содержание зеленых насаждений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2580,0 тыс.кв.м.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2580,0 тыс.кв.м.</w:t>
      </w:r>
    </w:p>
    <w:p w14:paraId="73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-21,5 км</w:t>
      </w:r>
      <w:r>
        <w:rPr>
          <w:i w:val="1"/>
        </w:rPr>
        <w:t xml:space="preserve">, фактическое значение </w:t>
      </w:r>
      <w:r>
        <w:rPr>
          <w:i w:val="1"/>
        </w:rPr>
        <w:t>-21,5 км</w:t>
      </w:r>
      <w:r>
        <w:rPr>
          <w:i w:val="1"/>
        </w:rPr>
        <w:t>.</w:t>
      </w:r>
    </w:p>
    <w:p w14:paraId="74000000">
      <w:pPr>
        <w:ind w:firstLine="708" w:left="0"/>
        <w:jc w:val="both"/>
        <w:rPr>
          <w:i w:val="1"/>
        </w:rPr>
      </w:pPr>
      <w:r>
        <w:t xml:space="preserve">Показатель 1.2. </w:t>
      </w:r>
      <w:r>
        <w:t>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 xml:space="preserve">плановое значение- </w:t>
      </w:r>
      <w:r>
        <w:rPr>
          <w:i w:val="1"/>
        </w:rPr>
        <w:t>2,25 га</w:t>
      </w:r>
      <w:r>
        <w:rPr>
          <w:i w:val="1"/>
        </w:rPr>
        <w:t>, фактическое значение-2,25га.</w:t>
      </w:r>
    </w:p>
    <w:p w14:paraId="75000000">
      <w:pPr>
        <w:ind w:firstLine="708" w:left="0"/>
        <w:jc w:val="both"/>
        <w:rPr>
          <w:i w:val="1"/>
        </w:rPr>
      </w:pPr>
      <w:r>
        <w:t>Показатель 1.3.</w:t>
      </w:r>
      <w:r>
        <w:t xml:space="preserve"> «Содержание зеленых насаждений» - </w:t>
      </w:r>
      <w:r>
        <w:rPr>
          <w:i w:val="1"/>
        </w:rPr>
        <w:t>плановое значение-2580,0 тыс.кв.м., фактическое значение-2580,0 тыс.кв.м.</w:t>
      </w:r>
    </w:p>
    <w:p w14:paraId="76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поселения» - </w:t>
      </w:r>
      <w:r>
        <w:rPr>
          <w:i w:val="1"/>
        </w:rPr>
        <w:t>плановое значение-95%, фактическое значение-</w:t>
      </w:r>
      <w:r>
        <w:rPr>
          <w:i w:val="1"/>
        </w:rPr>
        <w:t>87,6</w:t>
      </w:r>
      <w:r>
        <w:rPr>
          <w:i w:val="1"/>
        </w:rPr>
        <w:t>%.</w:t>
      </w:r>
    </w:p>
    <w:p w14:paraId="77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8000000">
      <w:pPr>
        <w:ind/>
        <w:jc w:val="center"/>
      </w:pPr>
    </w:p>
    <w:p w14:paraId="79000000">
      <w:pPr>
        <w:ind/>
        <w:jc w:val="center"/>
      </w:pPr>
      <w:r>
        <w:t>Раздел 6. Результаты оценки</w:t>
      </w:r>
    </w:p>
    <w:p w14:paraId="7A000000">
      <w:pPr>
        <w:ind/>
        <w:jc w:val="center"/>
      </w:pPr>
      <w:r>
        <w:t>Эффективности реализации муниципальной программы</w:t>
      </w:r>
    </w:p>
    <w:p w14:paraId="7B000000">
      <w:r>
        <w:t xml:space="preserve">       </w:t>
      </w:r>
    </w:p>
    <w:p w14:paraId="7C000000">
      <w:pPr>
        <w:ind/>
        <w:jc w:val="both"/>
      </w:pPr>
      <w:r>
        <w:t xml:space="preserve">       Эффектив</w:t>
      </w:r>
      <w:r>
        <w:t>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D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E000000">
      <w:pPr>
        <w:ind/>
        <w:jc w:val="both"/>
      </w:pPr>
      <w:r>
        <w:t>подпрограмм муниципальной программы:</w:t>
      </w:r>
    </w:p>
    <w:p w14:paraId="7F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Содержание сетей уличного освещения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0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Благоустройство мест захоронения</w:t>
      </w:r>
      <w:r>
        <w:t>»</w:t>
      </w:r>
      <w:r>
        <w:t xml:space="preserve"> - </w:t>
      </w:r>
      <w:r>
        <w:t>1,0</w:t>
      </w:r>
      <w:r>
        <w:t>;</w:t>
      </w:r>
    </w:p>
    <w:p w14:paraId="81000000">
      <w:pPr>
        <w:ind w:firstLine="567" w:left="0"/>
        <w:jc w:val="both"/>
      </w:pPr>
      <w:r>
        <w:t xml:space="preserve">степень достижения целевого показателя </w:t>
      </w:r>
      <w:r>
        <w:t>3.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2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Содержание сетей уличного освещения</w:t>
      </w:r>
      <w:r>
        <w:t>»</w:t>
      </w:r>
      <w:r>
        <w:t xml:space="preserve"> -</w:t>
      </w:r>
      <w:r>
        <w:t>1,0</w:t>
      </w:r>
      <w:r>
        <w:t>;</w:t>
      </w:r>
    </w:p>
    <w:p w14:paraId="83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Благоустройство мест захоронения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4000000">
      <w:pPr>
        <w:ind/>
        <w:jc w:val="both"/>
      </w:pPr>
      <w:r>
        <w:t xml:space="preserve">       степень достижения целевого показателя </w:t>
      </w:r>
      <w:r>
        <w:t>1.</w:t>
      </w:r>
      <w:r>
        <w:t>3</w:t>
      </w:r>
      <w:r>
        <w:t>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поселения</w:t>
      </w:r>
      <w:r>
        <w:t>»</w:t>
      </w:r>
      <w:r>
        <w:t xml:space="preserve"> </w:t>
      </w:r>
      <w:r>
        <w:t xml:space="preserve">- </w:t>
      </w:r>
      <w:r>
        <w:t>0</w:t>
      </w:r>
      <w:r>
        <w:t>.</w:t>
      </w:r>
    </w:p>
    <w:p w14:paraId="86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0,86</w:t>
      </w:r>
      <w:r>
        <w:t xml:space="preserve"> </w:t>
      </w:r>
      <w:r>
        <w:t xml:space="preserve"> (</w:t>
      </w:r>
      <w:r>
        <w:t>6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>удовлетворительный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7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8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9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A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B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C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D000000">
      <w:r>
        <w:t xml:space="preserve">       Степень соответствия запланированному уровню расходов:</w:t>
      </w:r>
    </w:p>
    <w:p w14:paraId="8E000000">
      <w:r>
        <w:t>1633,1</w:t>
      </w:r>
      <w:r>
        <w:t xml:space="preserve"> тыс. рублей / </w:t>
      </w:r>
      <w:r>
        <w:t>2110,0</w:t>
      </w:r>
      <w:r>
        <w:t xml:space="preserve"> </w:t>
      </w:r>
      <w:r>
        <w:t>тыс. рублей =0,77</w:t>
      </w:r>
      <w:r>
        <w:t>,</w:t>
      </w:r>
    </w:p>
    <w:p w14:paraId="8F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0000000">
      <w:r>
        <w:t xml:space="preserve">      Эффективность использования финансовых ресурсов на реализацию муниципальной программы:</w:t>
      </w:r>
    </w:p>
    <w:p w14:paraId="91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77</w:t>
      </w:r>
      <w:r>
        <w:t xml:space="preserve"> = </w:t>
      </w:r>
      <w:r>
        <w:t>1,3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2000000">
      <w:pPr>
        <w:ind w:firstLine="708" w:left="0"/>
      </w:pPr>
      <w:r>
        <w:t>Уровень реализации муниципальной Программы в целом:</w:t>
      </w:r>
    </w:p>
    <w:p w14:paraId="93000000">
      <w:pPr>
        <w:ind/>
        <w:jc w:val="both"/>
      </w:pPr>
      <w:r>
        <w:t>0,86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1,3</w:t>
      </w:r>
      <w:r>
        <w:t xml:space="preserve"> </w:t>
      </w:r>
      <w:r>
        <w:t>x</w:t>
      </w:r>
      <w:r>
        <w:t xml:space="preserve"> 0,2 = </w:t>
      </w:r>
      <w:r>
        <w:t>0,99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4000000">
      <w:pPr>
        <w:ind/>
        <w:jc w:val="both"/>
        <w:rPr>
          <w:i w:val="1"/>
        </w:rPr>
      </w:pPr>
    </w:p>
    <w:p w14:paraId="95000000">
      <w:pPr>
        <w:ind/>
        <w:jc w:val="center"/>
      </w:pPr>
      <w:r>
        <w:t>Раздел 7. Предложения по дальнейшей</w:t>
      </w:r>
    </w:p>
    <w:p w14:paraId="96000000">
      <w:pPr>
        <w:ind/>
        <w:jc w:val="center"/>
      </w:pPr>
      <w:r>
        <w:t>реализации муниципальной программы</w:t>
      </w:r>
    </w:p>
    <w:p w14:paraId="97000000">
      <w:pPr>
        <w:ind/>
        <w:jc w:val="center"/>
      </w:pPr>
    </w:p>
    <w:p w14:paraId="98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99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9A000000">
      <w:pPr>
        <w:sectPr>
          <w:headerReference r:id="rId3" w:type="default"/>
          <w:pgSz w:h="16838" w:orient="portrait" w:w="11906"/>
          <w:pgMar w:bottom="340" w:footer="720" w:gutter="0" w:header="720" w:left="1134" w:right="624" w:top="340"/>
          <w:titlePg/>
        </w:sectPr>
      </w:pPr>
    </w:p>
    <w:p w14:paraId="9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обеспечено </w:t>
            </w: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900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0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обеспечено 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D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по вопросам организации благоустройства территории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18"/>
              </w:rPr>
              <w:t>подготов</w:t>
            </w:r>
            <w:r>
              <w:rPr>
                <w:sz w:val="18"/>
              </w:rPr>
              <w:t>лены</w:t>
            </w:r>
            <w:r>
              <w:rPr>
                <w:sz w:val="18"/>
              </w:rPr>
              <w:t xml:space="preserve"> и принят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нормативны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правовы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акт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по вопросам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4000000">
      <w:pPr>
        <w:sectPr>
          <w:headerReference r:id="rId1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5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6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7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8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9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A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2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9000000">
            <w:pPr>
              <w:pStyle w:val="Style_5"/>
              <w:rPr>
                <w:sz w:val="20"/>
              </w:rPr>
            </w:pPr>
            <w:r>
              <w:t>«</w:t>
            </w:r>
            <w:r>
              <w:t>Благоустройство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B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D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лагоустройств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E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F010000">
      <w:pPr>
        <w:widowControl w:val="0"/>
        <w:ind/>
        <w:jc w:val="right"/>
        <w:outlineLvl w:val="1"/>
        <w:rPr>
          <w:sz w:val="24"/>
        </w:rPr>
      </w:pPr>
    </w:p>
    <w:p w14:paraId="60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1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2010000">
      <w:pPr>
        <w:widowControl w:val="0"/>
        <w:ind w:firstLine="540" w:left="0"/>
        <w:jc w:val="both"/>
        <w:rPr>
          <w:sz w:val="24"/>
        </w:rPr>
      </w:pPr>
    </w:p>
    <w:p w14:paraId="63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4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5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0"/>
        <w:gridCol w:w="4649"/>
        <w:gridCol w:w="1404"/>
        <w:gridCol w:w="2040"/>
        <w:gridCol w:w="1531"/>
        <w:gridCol w:w="1324"/>
        <w:gridCol w:w="2514"/>
      </w:tblGrid>
      <w:tr>
        <w:tc>
          <w:tcPr>
            <w:tcW w:type="dxa" w:w="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5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4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Благоустройство территории 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5"/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6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372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8E010000">
            <w:pPr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5"/>
              <w:rPr>
                <w:sz w:val="20"/>
              </w:rPr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Благоустройство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1.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. </w:t>
            </w:r>
          </w:p>
          <w:p w14:paraId="A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86,3</w:t>
            </w:r>
          </w:p>
          <w:p w14:paraId="B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5"/>
              <w:ind/>
              <w:jc w:val="center"/>
            </w:pPr>
            <w:r>
              <w:t>87,6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Неисполнение 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 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нужд</w:t>
            </w:r>
            <w:r>
              <w:rPr>
                <w:sz w:val="20"/>
              </w:rPr>
              <w:t xml:space="preserve"> и невыполнение отдельных мероприятий</w:t>
            </w:r>
          </w:p>
        </w:tc>
      </w:tr>
    </w:tbl>
    <w:p w14:paraId="B8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9010000">
      <w:pPr>
        <w:widowControl w:val="0"/>
        <w:ind/>
        <w:jc w:val="right"/>
        <w:outlineLvl w:val="1"/>
        <w:rPr>
          <w:sz w:val="24"/>
        </w:rPr>
      </w:pPr>
    </w:p>
    <w:p w14:paraId="BA010000">
      <w:pPr>
        <w:widowControl w:val="0"/>
        <w:ind/>
        <w:jc w:val="right"/>
        <w:outlineLvl w:val="1"/>
        <w:rPr>
          <w:sz w:val="24"/>
        </w:rPr>
      </w:pPr>
    </w:p>
    <w:p w14:paraId="BB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Основной текст5"/>
    <w:basedOn w:val="Style_8"/>
    <w:link w:val="Style_9_ch"/>
    <w:pPr>
      <w:widowControl w:val="0"/>
      <w:spacing w:line="202" w:lineRule="exact"/>
      <w:ind/>
    </w:pPr>
    <w:rPr>
      <w:sz w:val="18"/>
      <w:highlight w:val="white"/>
    </w:rPr>
  </w:style>
  <w:style w:styleId="Style_9_ch" w:type="character">
    <w:name w:val="Основной текст5"/>
    <w:basedOn w:val="Style_8_ch"/>
    <w:link w:val="Style_9"/>
    <w:rPr>
      <w:sz w:val="18"/>
      <w:highlight w:val="white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текстовая ссылка"/>
    <w:link w:val="Style_11_ch"/>
    <w:rPr>
      <w:color w:val="106BBE"/>
      <w:sz w:val="26"/>
    </w:rPr>
  </w:style>
  <w:style w:styleId="Style_11_ch" w:type="character">
    <w:name w:val="Гипертекстовая ссылка"/>
    <w:link w:val="Style_11"/>
    <w:rPr>
      <w:color w:val="106BBE"/>
      <w:sz w:val="26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11"/>
    <w:basedOn w:val="Style_8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11"/>
    <w:basedOn w:val="Style_8_ch"/>
    <w:link w:val="Style_15"/>
    <w:rPr>
      <w:rFonts w:ascii="Tahoma" w:hAnsi="Tahoma"/>
      <w:sz w:val="20"/>
    </w:rPr>
  </w:style>
  <w:style w:styleId="Style_16" w:type="paragraph">
    <w:name w:val="Body Text"/>
    <w:basedOn w:val="Style_8"/>
    <w:link w:val="Style_16_ch"/>
    <w:pPr>
      <w:ind/>
      <w:jc w:val="both"/>
    </w:pPr>
  </w:style>
  <w:style w:styleId="Style_16_ch" w:type="character">
    <w:name w:val="Body Text"/>
    <w:basedOn w:val="Style_8_ch"/>
    <w:link w:val="Style_16"/>
  </w:style>
  <w:style w:styleId="Style_17" w:type="paragraph">
    <w:name w:val="heading 3"/>
    <w:basedOn w:val="Style_8"/>
    <w:next w:val="Style_8"/>
    <w:link w:val="Style_17_ch"/>
    <w:uiPriority w:val="9"/>
    <w:qFormat/>
    <w:pPr>
      <w:keepNext w:val="1"/>
      <w:ind/>
      <w:jc w:val="both"/>
      <w:outlineLvl w:val="2"/>
    </w:pPr>
    <w:rPr>
      <w:b w:val="1"/>
    </w:rPr>
  </w:style>
  <w:style w:styleId="Style_17_ch" w:type="character">
    <w:name w:val="heading 3"/>
    <w:basedOn w:val="Style_8_ch"/>
    <w:link w:val="Style_17"/>
    <w:rPr>
      <w:b w:val="1"/>
    </w:rPr>
  </w:style>
  <w:style w:styleId="Style_18" w:type="paragraph">
    <w:name w:val="Знак1"/>
    <w:basedOn w:val="Style_8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Знак1"/>
    <w:basedOn w:val="Style_8_ch"/>
    <w:link w:val="Style_18"/>
    <w:rPr>
      <w:rFonts w:ascii="Tahoma" w:hAnsi="Tahoma"/>
      <w:sz w:val="20"/>
    </w:rPr>
  </w:style>
  <w:style w:styleId="Style_3" w:type="paragraph">
    <w:name w:val="Body Text 2"/>
    <w:basedOn w:val="Style_8"/>
    <w:link w:val="Style_3_ch"/>
    <w:pPr>
      <w:spacing w:after="120" w:line="480" w:lineRule="auto"/>
      <w:ind/>
    </w:pPr>
  </w:style>
  <w:style w:styleId="Style_3_ch" w:type="character">
    <w:name w:val="Body Text 2"/>
    <w:basedOn w:val="Style_8_ch"/>
    <w:link w:val="Style_3"/>
  </w:style>
  <w:style w:styleId="Style_19" w:type="paragraph">
    <w:name w:val="footer"/>
    <w:basedOn w:val="Style_8"/>
    <w:link w:val="Style_1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9_ch" w:type="character">
    <w:name w:val="footer"/>
    <w:basedOn w:val="Style_8_ch"/>
    <w:link w:val="Style_19"/>
    <w:rPr>
      <w:rFonts w:ascii="Calibri" w:hAnsi="Calibri"/>
      <w:sz w:val="22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5" w:type="paragraph">
    <w:name w:val="Normal (Web)"/>
    <w:basedOn w:val="Style_8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20" w:type="paragraph">
    <w:name w:val="Без интервала"/>
    <w:link w:val="Style_20_ch"/>
    <w:rPr>
      <w:rFonts w:ascii="Calibri" w:hAnsi="Calibri"/>
      <w:sz w:val="22"/>
    </w:rPr>
  </w:style>
  <w:style w:styleId="Style_20_ch" w:type="character">
    <w:name w:val="Без интервала"/>
    <w:link w:val="Style_20"/>
    <w:rPr>
      <w:rFonts w:ascii="Calibri" w:hAnsi="Calibri"/>
      <w:sz w:val="22"/>
    </w:rPr>
  </w:style>
  <w:style w:styleId="Style_21" w:type="paragraph">
    <w:name w:val="Font Style11"/>
    <w:link w:val="Style_21_ch"/>
    <w:rPr>
      <w:rFonts w:ascii="Times New Roman" w:hAnsi="Times New Roman"/>
      <w:sz w:val="22"/>
    </w:rPr>
  </w:style>
  <w:style w:styleId="Style_21_ch" w:type="character">
    <w:name w:val="Font Style11"/>
    <w:link w:val="Style_21"/>
    <w:rPr>
      <w:rFonts w:ascii="Times New Roman" w:hAnsi="Times New Roman"/>
      <w:sz w:val="22"/>
    </w:rPr>
  </w:style>
  <w:style w:styleId="Style_22" w:type="paragraph">
    <w:name w:val="Body Text Indent 2"/>
    <w:basedOn w:val="Style_8"/>
    <w:link w:val="Style_22_ch"/>
    <w:pPr>
      <w:spacing w:line="360" w:lineRule="auto"/>
      <w:ind w:firstLine="720" w:left="0"/>
    </w:pPr>
  </w:style>
  <w:style w:styleId="Style_22_ch" w:type="character">
    <w:name w:val="Body Text Indent 2"/>
    <w:basedOn w:val="Style_8_ch"/>
    <w:link w:val="Style_22"/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heading 5"/>
    <w:basedOn w:val="Style_8"/>
    <w:next w:val="Style_8"/>
    <w:link w:val="Style_25_ch"/>
    <w:uiPriority w:val="9"/>
    <w:qFormat/>
    <w:pPr>
      <w:keepNext w:val="1"/>
      <w:ind/>
      <w:jc w:val="both"/>
      <w:outlineLvl w:val="4"/>
    </w:pPr>
    <w:rPr>
      <w:b w:val="1"/>
    </w:rPr>
  </w:style>
  <w:style w:styleId="Style_25_ch" w:type="character">
    <w:name w:val="heading 5"/>
    <w:basedOn w:val="Style_8_ch"/>
    <w:link w:val="Style_25"/>
    <w:rPr>
      <w:b w:val="1"/>
    </w:rPr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6_ch" w:type="character">
    <w:name w:val="heading 1"/>
    <w:basedOn w:val="Style_8_ch"/>
    <w:link w:val="Style_26"/>
    <w:rPr>
      <w:b w:val="1"/>
      <w:sz w:val="32"/>
    </w:rPr>
  </w:style>
  <w:style w:styleId="Style_27" w:type="paragraph">
    <w:name w:val="Абзац списка"/>
    <w:basedOn w:val="Style_8"/>
    <w:link w:val="Style_2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7_ch" w:type="character">
    <w:name w:val="Абзац списка"/>
    <w:basedOn w:val="Style_8_ch"/>
    <w:link w:val="Style_27"/>
    <w:rPr>
      <w:rFonts w:ascii="Calibri" w:hAnsi="Calibri"/>
      <w:sz w:val="22"/>
    </w:rPr>
  </w:style>
  <w:style w:styleId="Style_28" w:type="paragraph">
    <w:name w:val="Postan"/>
    <w:basedOn w:val="Style_8"/>
    <w:link w:val="Style_28_ch"/>
    <w:pPr>
      <w:ind/>
      <w:jc w:val="center"/>
    </w:pPr>
  </w:style>
  <w:style w:styleId="Style_28_ch" w:type="character">
    <w:name w:val="Postan"/>
    <w:basedOn w:val="Style_8_ch"/>
    <w:link w:val="Style_28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page number"/>
    <w:basedOn w:val="Style_32"/>
    <w:link w:val="Style_31_ch"/>
  </w:style>
  <w:style w:styleId="Style_31_ch" w:type="character">
    <w:name w:val="page number"/>
    <w:basedOn w:val="Style_32_ch"/>
    <w:link w:val="Style_31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Body Text Indent"/>
    <w:basedOn w:val="Style_8"/>
    <w:link w:val="Style_34_ch"/>
    <w:pPr>
      <w:ind w:firstLine="1134" w:left="0"/>
      <w:jc w:val="both"/>
    </w:pPr>
  </w:style>
  <w:style w:styleId="Style_34_ch" w:type="character">
    <w:name w:val="Body Text Indent"/>
    <w:basedOn w:val="Style_8_ch"/>
    <w:link w:val="Style_34"/>
  </w:style>
  <w:style w:styleId="Style_35" w:type="paragraph">
    <w:name w:val="Основной текст с отступом 21"/>
    <w:basedOn w:val="Style_8"/>
    <w:link w:val="Style_35_ch"/>
    <w:pPr>
      <w:ind w:firstLine="567" w:left="0"/>
      <w:jc w:val="both"/>
    </w:pPr>
    <w:rPr>
      <w:sz w:val="24"/>
    </w:rPr>
  </w:style>
  <w:style w:styleId="Style_35_ch" w:type="character">
    <w:name w:val="Основной текст с отступом 21"/>
    <w:basedOn w:val="Style_8_ch"/>
    <w:link w:val="Style_35"/>
    <w:rPr>
      <w:sz w:val="24"/>
    </w:rPr>
  </w:style>
  <w:style w:styleId="Style_36" w:type="paragraph">
    <w:name w:val="toc 9"/>
    <w:next w:val="Style_8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37" w:type="paragraph">
    <w:name w:val=" Знак1"/>
    <w:basedOn w:val="Style_8"/>
    <w:link w:val="Style_37_ch"/>
    <w:pPr>
      <w:spacing w:afterAutospacing="on" w:beforeAutospacing="on"/>
      <w:ind/>
    </w:pPr>
    <w:rPr>
      <w:rFonts w:ascii="Tahoma" w:hAnsi="Tahoma"/>
      <w:sz w:val="20"/>
    </w:rPr>
  </w:style>
  <w:style w:styleId="Style_37_ch" w:type="character">
    <w:name w:val=" Знак1"/>
    <w:basedOn w:val="Style_8_ch"/>
    <w:link w:val="Style_37"/>
    <w:rPr>
      <w:rFonts w:ascii="Tahoma" w:hAnsi="Tahoma"/>
      <w:sz w:val="20"/>
    </w:rPr>
  </w:style>
  <w:style w:styleId="Style_38" w:type="paragraph">
    <w:name w:val="ConsNonformat"/>
    <w:link w:val="Style_38_ch"/>
    <w:pPr>
      <w:widowControl w:val="0"/>
      <w:ind w:right="19772"/>
    </w:pPr>
    <w:rPr>
      <w:rFonts w:ascii="Courier New" w:hAnsi="Courier New"/>
      <w:sz w:val="22"/>
    </w:rPr>
  </w:style>
  <w:style w:styleId="Style_38_ch" w:type="character">
    <w:name w:val="ConsNonformat"/>
    <w:link w:val="Style_38"/>
    <w:rPr>
      <w:rFonts w:ascii="Courier New" w:hAnsi="Courier New"/>
      <w:sz w:val="22"/>
    </w:rPr>
  </w:style>
  <w:style w:styleId="Style_39" w:type="paragraph">
    <w:name w:val="Standard"/>
    <w:link w:val="Style_39_ch"/>
    <w:pPr>
      <w:spacing w:line="100" w:lineRule="atLeast"/>
      <w:ind/>
    </w:pPr>
    <w:rPr>
      <w:sz w:val="24"/>
    </w:rPr>
  </w:style>
  <w:style w:styleId="Style_39_ch" w:type="character">
    <w:name w:val="Standard"/>
    <w:link w:val="Style_39"/>
    <w:rPr>
      <w:sz w:val="24"/>
    </w:rPr>
  </w:style>
  <w:style w:styleId="Style_40" w:type="paragraph">
    <w:name w:val="toc 8"/>
    <w:next w:val="Style_8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toc 5"/>
    <w:next w:val="Style_8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 Знак"/>
    <w:basedOn w:val="Style_8"/>
    <w:link w:val="Style_43_ch"/>
    <w:pPr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 Знак"/>
    <w:basedOn w:val="Style_8_ch"/>
    <w:link w:val="Style_43"/>
    <w:rPr>
      <w:rFonts w:ascii="Tahoma" w:hAnsi="Tahoma"/>
      <w:sz w:val="20"/>
    </w:rPr>
  </w:style>
  <w:style w:styleId="Style_44" w:type="paragraph">
    <w:name w:val="Нормальный (таблица)"/>
    <w:basedOn w:val="Style_8"/>
    <w:next w:val="Style_8"/>
    <w:link w:val="Style_44_ch"/>
    <w:pPr>
      <w:widowControl w:val="0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8_ch"/>
    <w:link w:val="Style_44"/>
    <w:rPr>
      <w:rFonts w:ascii="Arial" w:hAnsi="Arial"/>
      <w:sz w:val="24"/>
    </w:rPr>
  </w:style>
  <w:style w:styleId="Style_45" w:type="paragraph">
    <w:name w:val="Body Text Indent 3"/>
    <w:basedOn w:val="Style_8"/>
    <w:link w:val="Style_45_ch"/>
    <w:pPr>
      <w:ind w:firstLine="709" w:left="0"/>
      <w:jc w:val="both"/>
    </w:pPr>
  </w:style>
  <w:style w:styleId="Style_45_ch" w:type="character">
    <w:name w:val="Body Text Indent 3"/>
    <w:basedOn w:val="Style_8_ch"/>
    <w:link w:val="Style_45"/>
  </w:style>
  <w:style w:styleId="Style_46" w:type="paragraph">
    <w:name w:val="Subtitle"/>
    <w:next w:val="Style_8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 Знак Знак9"/>
    <w:link w:val="Style_47_ch"/>
    <w:rPr>
      <w:sz w:val="28"/>
    </w:rPr>
  </w:style>
  <w:style w:styleId="Style_47_ch" w:type="character">
    <w:name w:val=" Знак Знак9"/>
    <w:link w:val="Style_47"/>
    <w:rPr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48" w:type="paragraph">
    <w:name w:val="Title"/>
    <w:basedOn w:val="Style_8"/>
    <w:link w:val="Style_48_ch"/>
    <w:uiPriority w:val="10"/>
    <w:qFormat/>
    <w:pPr>
      <w:ind/>
      <w:jc w:val="center"/>
    </w:pPr>
  </w:style>
  <w:style w:styleId="Style_48_ch" w:type="character">
    <w:name w:val="Title"/>
    <w:basedOn w:val="Style_8_ch"/>
    <w:link w:val="Style_48"/>
  </w:style>
  <w:style w:styleId="Style_49" w:type="paragraph">
    <w:name w:val="ConsNormal"/>
    <w:link w:val="Style_49_ch"/>
    <w:pPr>
      <w:widowControl w:val="0"/>
      <w:spacing w:line="100" w:lineRule="atLeast"/>
      <w:ind w:firstLine="720" w:left="0"/>
    </w:pPr>
    <w:rPr>
      <w:rFonts w:ascii="Arial" w:hAnsi="Arial"/>
    </w:rPr>
  </w:style>
  <w:style w:styleId="Style_49_ch" w:type="character">
    <w:name w:val="ConsNormal"/>
    <w:link w:val="Style_49"/>
    <w:rPr>
      <w:rFonts w:ascii="Arial" w:hAnsi="Arial"/>
    </w:rPr>
  </w:style>
  <w:style w:styleId="Style_50" w:type="paragraph">
    <w:name w:val="heading 4"/>
    <w:basedOn w:val="Style_8"/>
    <w:next w:val="Style_8"/>
    <w:link w:val="Style_50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50_ch" w:type="character">
    <w:name w:val="heading 4"/>
    <w:basedOn w:val="Style_8_ch"/>
    <w:link w:val="Style_50"/>
    <w:rPr>
      <w:b w:val="1"/>
    </w:rPr>
  </w:style>
  <w:style w:styleId="Style_51" w:type="paragraph">
    <w:name w:val="heading 2"/>
    <w:basedOn w:val="Style_8"/>
    <w:next w:val="Style_8"/>
    <w:link w:val="Style_5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1_ch" w:type="character">
    <w:name w:val="heading 2"/>
    <w:basedOn w:val="Style_8_ch"/>
    <w:link w:val="Style_51"/>
    <w:rPr>
      <w:b w:val="1"/>
    </w:rPr>
  </w:style>
  <w:style w:styleId="Style_52" w:type="paragraph">
    <w:name w:val="Balloon Text"/>
    <w:basedOn w:val="Style_8"/>
    <w:link w:val="Style_52_ch"/>
    <w:rPr>
      <w:rFonts w:ascii="Tahoma" w:hAnsi="Tahoma"/>
      <w:sz w:val="16"/>
    </w:rPr>
  </w:style>
  <w:style w:styleId="Style_52_ch" w:type="character">
    <w:name w:val="Balloon Text"/>
    <w:basedOn w:val="Style_8_ch"/>
    <w:link w:val="Style_52"/>
    <w:rPr>
      <w:rFonts w:ascii="Tahoma" w:hAnsi="Tahoma"/>
      <w:sz w:val="16"/>
    </w:rPr>
  </w:style>
  <w:style w:styleId="Style_53" w:type="paragraph">
    <w:name w:val="No Spacing"/>
    <w:link w:val="Style_53_ch"/>
    <w:rPr>
      <w:rFonts w:ascii="Calibri" w:hAnsi="Calibri"/>
      <w:sz w:val="22"/>
    </w:rPr>
  </w:style>
  <w:style w:styleId="Style_53_ch" w:type="character">
    <w:name w:val="No Spacing"/>
    <w:link w:val="Style_53"/>
    <w:rPr>
      <w:rFonts w:ascii="Calibri" w:hAnsi="Calibri"/>
      <w:sz w:val="22"/>
    </w:rPr>
  </w:style>
  <w:style w:styleId="Style_54" w:type="paragraph">
    <w:name w:val="Strong"/>
    <w:basedOn w:val="Style_32"/>
    <w:link w:val="Style_54_ch"/>
    <w:rPr>
      <w:b w:val="1"/>
    </w:rPr>
  </w:style>
  <w:style w:styleId="Style_54_ch" w:type="character">
    <w:name w:val="Strong"/>
    <w:basedOn w:val="Style_32_ch"/>
    <w:link w:val="Style_54"/>
    <w:rPr>
      <w:b w:val="1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2024-02-16T06:22:13Z</dcterms:modified>
</cp:coreProperties>
</file>